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2862564</wp:posOffset>
            </wp:positionH>
            <wp:positionV relativeFrom="page">
              <wp:posOffset>191362</wp:posOffset>
            </wp:positionV>
            <wp:extent cx="1830617" cy="899251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0617" cy="8992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Checklist for Starting a Food Business in Malaysia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5966796875" w:line="240" w:lineRule="auto"/>
        <w:ind w:left="725.7200622558594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Register your Business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66.571044921875" w:line="240" w:lineRule="auto"/>
        <w:ind w:left="2160" w:right="0" w:hanging="360"/>
        <w:jc w:val="left"/>
        <w:rPr>
          <w:rFonts w:ascii="Roboto" w:cs="Roboto" w:eastAsia="Roboto" w:hAnsi="Roboto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Company registration (SSM)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Link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Roboto" w:cs="Roboto" w:eastAsia="Roboto" w:hAnsi="Roboto"/>
          <w:color w:val="1155cc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Company and Employees Income Tax Registration</w:t>
      </w:r>
      <w:r w:rsidDel="00000000" w:rsidR="00000000" w:rsidRPr="00000000">
        <w:rPr>
          <w:rFonts w:ascii="Roboto" w:cs="Roboto" w:eastAsia="Roboto" w:hAnsi="Roboto"/>
          <w:color w:val="333333"/>
          <w:rtl w:val="0"/>
        </w:rPr>
        <w:t xml:space="preserve">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Link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Roboto" w:cs="Roboto" w:eastAsia="Roboto" w:hAnsi="Roboto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Employees Provident Fund (EPF)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Link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Roboto" w:cs="Roboto" w:eastAsia="Roboto" w:hAnsi="Roboto"/>
          <w:color w:val="1155cc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Social Security Organisation (PERKESO)</w:t>
      </w:r>
      <w:r w:rsidDel="00000000" w:rsidR="00000000" w:rsidRPr="00000000">
        <w:rPr>
          <w:rFonts w:ascii="Roboto" w:cs="Roboto" w:eastAsia="Roboto" w:hAnsi="Roboto"/>
          <w:color w:val="333333"/>
          <w:rtl w:val="0"/>
        </w:rPr>
        <w:t xml:space="preserve"> 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Link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3.1107807159424" w:lineRule="auto"/>
        <w:ind w:left="2160" w:right="0" w:hanging="360"/>
        <w:jc w:val="left"/>
        <w:rPr>
          <w:rFonts w:ascii="Roboto" w:cs="Roboto" w:eastAsia="Roboto" w:hAnsi="Roboto"/>
          <w:i w:val="0"/>
          <w:smallCaps w:val="0"/>
          <w:strike w:val="0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Human Resources Development Corporation (HRDCORP) </w:t>
      </w:r>
      <w:hyperlink r:id="rId11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Link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83.1107807159424" w:lineRule="auto"/>
        <w:ind w:left="2160" w:right="0" w:hanging="360"/>
        <w:jc w:val="left"/>
        <w:rPr>
          <w:rFonts w:ascii="Roboto" w:cs="Roboto" w:eastAsia="Roboto" w:hAnsi="Roboto"/>
          <w:i w:val="0"/>
          <w:smallCaps w:val="0"/>
          <w:strike w:val="0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Business Premise Licenses and Signboard Licenses (Designated Municipal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Council. Example of MBPJ: </w:t>
      </w:r>
      <w:hyperlink r:id="rId12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Link Here</w:t>
        </w:r>
      </w:hyperlink>
      <w:r w:rsidDel="00000000" w:rsidR="00000000" w:rsidRPr="00000000">
        <w:rPr>
          <w:rFonts w:ascii="Roboto" w:cs="Roboto" w:eastAsia="Roboto" w:hAnsi="Roboto"/>
          <w:color w:val="333333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293212890625" w:line="240" w:lineRule="auto"/>
        <w:ind w:left="725.7200622558594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Prioritise Cleanliness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66.580810546875" w:line="240" w:lineRule="auto"/>
        <w:ind w:left="216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 handling license </w:t>
      </w:r>
      <w:hyperlink r:id="rId13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Link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Health &amp; safety permit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hyperlink r:id="rId14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Link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Halal Certifications *if applicable</w:t>
      </w: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 </w:t>
      </w:r>
      <w:hyperlink r:id="rId15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Link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Typhoid Injection (Example of DBKL) </w:t>
      </w:r>
      <w:hyperlink r:id="rId1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Link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4"/>
        </w:numPr>
        <w:spacing w:before="0" w:beforeAutospacing="0" w:line="240" w:lineRule="auto"/>
        <w:ind w:left="216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Food handler’s safety course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1.883544921875" w:line="240" w:lineRule="auto"/>
        <w:ind w:left="725.7200622558594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Protect your Product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66.571044921875" w:line="240" w:lineRule="auto"/>
        <w:ind w:left="216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 Nutritional Claims Application </w:t>
      </w:r>
      <w:hyperlink r:id="rId1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Link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Food Regulation Guide </w:t>
      </w:r>
      <w:hyperlink r:id="rId18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u w:val="single"/>
            <w:rtl w:val="0"/>
          </w:rPr>
          <w:t xml:space="preserve">Link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Roboto" w:cs="Roboto" w:eastAsia="Roboto" w:hAnsi="Roboto"/>
          <w:i w:val="0"/>
          <w:smallCaps w:val="0"/>
          <w:strike w:val="0"/>
          <w:color w:val="333333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Product Liability Insurance </w:t>
      </w:r>
      <w:hyperlink r:id="rId19">
        <w:r w:rsidDel="00000000" w:rsidR="00000000" w:rsidRPr="00000000">
          <w:rPr>
            <w:rFonts w:ascii="Roboto" w:cs="Roboto" w:eastAsia="Roboto" w:hAnsi="Roboto"/>
            <w:i w:val="0"/>
            <w:smallCaps w:val="0"/>
            <w:strike w:val="0"/>
            <w:color w:val="1155cc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Link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2160" w:right="0" w:hanging="360"/>
        <w:jc w:val="left"/>
        <w:rPr>
          <w:rFonts w:ascii="Roboto" w:cs="Roboto" w:eastAsia="Roboto" w:hAnsi="Roboto"/>
          <w:i w:val="0"/>
          <w:smallCaps w:val="0"/>
          <w:strike w:val="0"/>
          <w:color w:val="333333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Public Liability Insurance </w:t>
      </w:r>
      <w:hyperlink r:id="rId20">
        <w:r w:rsidDel="00000000" w:rsidR="00000000" w:rsidRPr="00000000">
          <w:rPr>
            <w:rFonts w:ascii="Roboto" w:cs="Roboto" w:eastAsia="Roboto" w:hAnsi="Roboto"/>
            <w:i w:val="0"/>
            <w:smallCaps w:val="0"/>
            <w:strike w:val="0"/>
            <w:color w:val="1155cc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Link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15185546875" w:line="240" w:lineRule="auto"/>
        <w:ind w:left="0" w:right="0" w:firstLine="720"/>
        <w:jc w:val="left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15185546875" w:line="240" w:lineRule="auto"/>
        <w:ind w:left="0" w:right="0" w:firstLine="72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Communicate through your product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7958984375" w:line="240" w:lineRule="auto"/>
        <w:ind w:left="216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 labeling guidelines </w:t>
      </w:r>
      <w:hyperlink r:id="rId21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Link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7958984375" w:line="240" w:lineRule="auto"/>
        <w:ind w:left="1447.6998901367188" w:right="0" w:firstLine="0"/>
        <w:jc w:val="left"/>
        <w:rPr>
          <w:rFonts w:ascii="Roboto" w:cs="Roboto" w:eastAsia="Roboto" w:hAnsi="Roboto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7958984375" w:line="240" w:lineRule="auto"/>
        <w:ind w:left="1447.6998901367188" w:right="0" w:firstLine="0"/>
        <w:jc w:val="left"/>
        <w:rPr>
          <w:rFonts w:ascii="Roboto" w:cs="Roboto" w:eastAsia="Roboto" w:hAnsi="Roboto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7958984375" w:line="240" w:lineRule="auto"/>
        <w:ind w:left="1447.6998901367188" w:right="0" w:firstLine="0"/>
        <w:jc w:val="left"/>
        <w:rPr>
          <w:rFonts w:ascii="Roboto" w:cs="Roboto" w:eastAsia="Roboto" w:hAnsi="Roboto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7958984375" w:line="240" w:lineRule="auto"/>
        <w:ind w:left="1447.6998901367188" w:right="0" w:firstLine="0"/>
        <w:jc w:val="left"/>
        <w:rPr>
          <w:rFonts w:ascii="Roboto" w:cs="Roboto" w:eastAsia="Roboto" w:hAnsi="Roboto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7958984375" w:line="240" w:lineRule="auto"/>
        <w:ind w:left="1447.6998901367188" w:right="0" w:firstLine="0"/>
        <w:jc w:val="left"/>
        <w:rPr>
          <w:rFonts w:ascii="Roboto" w:cs="Roboto" w:eastAsia="Roboto" w:hAnsi="Roboto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7958984375" w:line="240" w:lineRule="auto"/>
        <w:ind w:left="0" w:right="0" w:firstLine="0"/>
        <w:jc w:val="left"/>
        <w:rPr>
          <w:rFonts w:ascii="Roboto" w:cs="Roboto" w:eastAsia="Roboto" w:hAnsi="Roboto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7958984375" w:line="240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7958984375" w:line="240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7958984375" w:line="240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7958984375" w:line="240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7958984375" w:line="240" w:lineRule="auto"/>
        <w:ind w:left="1447.6998901367188" w:right="0" w:firstLine="0"/>
        <w:jc w:val="left"/>
        <w:rPr>
          <w:rFonts w:ascii="Roboto" w:cs="Roboto" w:eastAsia="Roboto" w:hAnsi="Roboto"/>
          <w:color w:val="1155cc"/>
          <w:u w:val="single"/>
        </w:rPr>
      </w:pPr>
      <w:r w:rsidDel="00000000" w:rsidR="00000000" w:rsidRPr="00000000">
        <w:rPr>
          <w:rtl w:val="0"/>
        </w:rPr>
      </w:r>
    </w:p>
    <w:sectPr>
      <w:headerReference r:id="rId22" w:type="default"/>
      <w:footerReference r:id="rId23" w:type="default"/>
      <w:pgSz w:h="16840" w:w="11920" w:orient="portrait"/>
      <w:pgMar w:bottom="930" w:top="1426.357421875" w:left="1450.3399658203125" w:right="2009.1778564453125" w:header="72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widowControl w:val="0"/>
      <w:spacing w:before="66.57958984375" w:line="240" w:lineRule="auto"/>
      <w:rPr>
        <w:rFonts w:ascii="Roboto" w:cs="Roboto" w:eastAsia="Roboto" w:hAnsi="Roboto"/>
      </w:rPr>
    </w:pPr>
    <w:r w:rsidDel="00000000" w:rsidR="00000000" w:rsidRPr="00000000">
      <w:rPr>
        <w:rFonts w:ascii="Roboto" w:cs="Roboto" w:eastAsia="Roboto" w:hAnsi="Roboto"/>
        <w:rtl w:val="0"/>
      </w:rPr>
      <w:t xml:space="preserve">Startup.kuali.com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1809750</wp:posOffset>
          </wp:positionH>
          <wp:positionV relativeFrom="paragraph">
            <wp:posOffset>276225</wp:posOffset>
          </wp:positionV>
          <wp:extent cx="771525" cy="44667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4667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2781300</wp:posOffset>
          </wp:positionH>
          <wp:positionV relativeFrom="paragraph">
            <wp:posOffset>242700</wp:posOffset>
          </wp:positionV>
          <wp:extent cx="1233641" cy="523875"/>
          <wp:effectExtent b="0" l="0" r="0" t="0"/>
          <wp:wrapNone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641" cy="523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pageBreakBefore w:val="0"/>
      <w:widowControl w:val="0"/>
      <w:spacing w:before="66.57958984375" w:line="240" w:lineRule="auto"/>
      <w:rPr>
        <w:rFonts w:ascii="Roboto" w:cs="Roboto" w:eastAsia="Roboto" w:hAnsi="Roboto"/>
      </w:rPr>
    </w:pPr>
    <w:r w:rsidDel="00000000" w:rsidR="00000000" w:rsidRPr="00000000">
      <w:rPr>
        <w:rFonts w:ascii="Roboto" w:cs="Roboto" w:eastAsia="Roboto" w:hAnsi="Roboto"/>
        <w:rtl w:val="0"/>
      </w:rPr>
      <w:t xml:space="preserve">Brought to you by: </w:t>
    </w:r>
  </w:p>
  <w:p w:rsidR="00000000" w:rsidDel="00000000" w:rsidP="00000000" w:rsidRDefault="00000000" w:rsidRPr="00000000" w14:paraId="00000028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2419666</wp:posOffset>
          </wp:positionH>
          <wp:positionV relativeFrom="paragraph">
            <wp:posOffset>419100</wp:posOffset>
          </wp:positionV>
          <wp:extent cx="522072" cy="362379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2072" cy="36237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allianz.com.my/public-liability" TargetMode="External"/><Relationship Id="rId11" Type="http://schemas.openxmlformats.org/officeDocument/2006/relationships/hyperlink" Target="https://hrdcorp.gov.my/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www.perkeso.gov.my/" TargetMode="External"/><Relationship Id="rId21" Type="http://schemas.openxmlformats.org/officeDocument/2006/relationships/hyperlink" Target="https://food.chemlinked.com/foodpedia/labeling-requirement-in-malaysia" TargetMode="External"/><Relationship Id="rId13" Type="http://schemas.openxmlformats.org/officeDocument/2006/relationships/hyperlink" Target="http://fsq.moh.gov.my/v6/xs/page.php?id=243" TargetMode="External"/><Relationship Id="rId12" Type="http://schemas.openxmlformats.org/officeDocument/2006/relationships/hyperlink" Target="http://www.mbpj.gov.my/en/businesses/licensing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wsp.gov.my/" TargetMode="External"/><Relationship Id="rId15" Type="http://schemas.openxmlformats.org/officeDocument/2006/relationships/hyperlink" Target="http://www.halal.gov.my/v4/index.php?data=bW9kdWxlcy9jZXJ0aWZ5X2JvZHk7Ozs7&amp;utama=CB_LIST" TargetMode="External"/><Relationship Id="rId14" Type="http://schemas.openxmlformats.org/officeDocument/2006/relationships/hyperlink" Target="http://fsq.moh.gov.my/v6/xs/page.php?id=208" TargetMode="External"/><Relationship Id="rId17" Type="http://schemas.openxmlformats.org/officeDocument/2006/relationships/hyperlink" Target="https://www2.moh.gov.my/index.php/pages/view/1005" TargetMode="External"/><Relationship Id="rId16" Type="http://schemas.openxmlformats.org/officeDocument/2006/relationships/hyperlink" Target="https://www.dbkl.gov.my/en/perkhidmatan/kesihatan-awam-dan-alam-sekitar/perkhidmatan-klinik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allianz.com.my/product-liability" TargetMode="External"/><Relationship Id="rId6" Type="http://schemas.openxmlformats.org/officeDocument/2006/relationships/image" Target="media/image3.png"/><Relationship Id="rId18" Type="http://schemas.openxmlformats.org/officeDocument/2006/relationships/hyperlink" Target="https://www2.moh.gov.my/index.php/pages/view/1005" TargetMode="External"/><Relationship Id="rId7" Type="http://schemas.openxmlformats.org/officeDocument/2006/relationships/hyperlink" Target="https://www.ssm.com.my/Documents/guidelines_for_registration_of_new_business_05062018_0.pdf" TargetMode="External"/><Relationship Id="rId8" Type="http://schemas.openxmlformats.org/officeDocument/2006/relationships/hyperlink" Target="http://www.hasil.gov.my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